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DD0164">
        <w:rPr>
          <w:rFonts w:ascii="Arial" w:hAnsi="Arial" w:cs="Arial"/>
          <w:b/>
          <w:bCs/>
          <w:sz w:val="24"/>
          <w:szCs w:val="24"/>
        </w:rPr>
        <w:t>S2-20</w:t>
      </w:r>
      <w:r w:rsidR="00DD0164" w:rsidRPr="00DD0164">
        <w:rPr>
          <w:rFonts w:ascii="Arial" w:hAnsi="Arial" w:cs="Arial"/>
          <w:b/>
          <w:bCs/>
          <w:sz w:val="24"/>
          <w:szCs w:val="24"/>
        </w:rPr>
        <w:t>00386</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Pr>
          <w:rFonts w:ascii="Arial" w:hAnsi="Arial" w:cs="Arial"/>
          <w:b/>
          <w:bCs/>
          <w:color w:val="0000FF"/>
        </w:rPr>
        <w:t>revision of S2-20xxxxx</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C91AE7">
            <w:pPr>
              <w:pStyle w:val="CRCoverPage"/>
              <w:spacing w:after="0"/>
              <w:jc w:val="right"/>
              <w:rPr>
                <w:b/>
                <w:noProof/>
                <w:sz w:val="28"/>
              </w:rPr>
            </w:pPr>
            <w:r>
              <w:rPr>
                <w:b/>
                <w:noProof/>
                <w:sz w:val="28"/>
              </w:rPr>
              <w:t>23.50</w:t>
            </w:r>
            <w:r w:rsidR="00C91AE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5581" w:rsidP="00DD0164">
            <w:pPr>
              <w:pStyle w:val="CRCoverPage"/>
              <w:spacing w:after="0"/>
              <w:rPr>
                <w:noProof/>
                <w:lang w:eastAsia="ko-KR"/>
              </w:rPr>
            </w:pPr>
            <w:r>
              <w:rPr>
                <w:b/>
                <w:noProof/>
                <w:sz w:val="28"/>
              </w:rPr>
              <w:t>0387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D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44DB" w:rsidP="007913DC">
            <w:pPr>
              <w:pStyle w:val="CRCoverPage"/>
              <w:spacing w:after="0"/>
              <w:jc w:val="center"/>
              <w:rPr>
                <w:noProof/>
                <w:sz w:val="28"/>
              </w:rPr>
            </w:pPr>
            <w:r>
              <w:rPr>
                <w:b/>
                <w:noProof/>
                <w:sz w:val="28"/>
              </w:rPr>
              <w:t>16.3.</w:t>
            </w:r>
            <w:r w:rsidR="008A0D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13DC"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rsidP="007913DC">
            <w:pPr>
              <w:pStyle w:val="CRCoverPage"/>
              <w:spacing w:after="0"/>
              <w:ind w:left="100"/>
              <w:rPr>
                <w:noProof/>
              </w:rPr>
            </w:pPr>
            <w:r>
              <w:t>Clarification</w:t>
            </w:r>
            <w:r w:rsidR="0007460F">
              <w:t xml:space="preserve"> </w:t>
            </w:r>
            <w:r w:rsidR="0007460F" w:rsidRPr="0007460F">
              <w:t xml:space="preserve">on </w:t>
            </w:r>
            <w:r w:rsidR="007913DC">
              <w:t>UE policy association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D18">
            <w:pPr>
              <w:pStyle w:val="CRCoverPage"/>
              <w:spacing w:after="0"/>
              <w:ind w:left="100"/>
              <w:rPr>
                <w:noProof/>
              </w:rPr>
            </w:pPr>
            <w:r>
              <w:rPr>
                <w:noProof/>
              </w:rPr>
              <w:t>5GS_Ph1</w:t>
            </w:r>
            <w:r w:rsidR="00485335">
              <w:rPr>
                <w:noProof/>
              </w:rPr>
              <w:t>, TEI1</w:t>
            </w:r>
            <w:r w:rsidR="002244DB">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485335">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Rel-1</w:t>
            </w:r>
            <w:r w:rsidR="002244D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B2F2A" w:rsidTr="00547111">
        <w:tc>
          <w:tcPr>
            <w:tcW w:w="2694" w:type="dxa"/>
            <w:gridSpan w:val="2"/>
            <w:tcBorders>
              <w:top w:val="single" w:sz="4" w:space="0" w:color="auto"/>
              <w:left w:val="single" w:sz="4" w:space="0" w:color="auto"/>
            </w:tcBorders>
          </w:tcPr>
          <w:p w:rsidR="00EB2F2A" w:rsidRDefault="00EB2F2A" w:rsidP="00EB2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2F2A" w:rsidRDefault="00EB2F2A" w:rsidP="00EB2F2A">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to SA2#135 shows the issue on UE Policy Association. </w:t>
            </w:r>
          </w:p>
          <w:p w:rsidR="00EB2F2A" w:rsidRDefault="00EB2F2A" w:rsidP="00EB2F2A">
            <w:pPr>
              <w:pStyle w:val="CRCoverPage"/>
              <w:spacing w:after="0"/>
              <w:ind w:left="100"/>
              <w:rPr>
                <w:rFonts w:cs="Arial"/>
                <w:color w:val="000000"/>
              </w:rPr>
            </w:pPr>
            <w:r>
              <w:rPr>
                <w:rFonts w:cs="Arial"/>
                <w:color w:val="000000"/>
              </w:rPr>
              <w:t xml:space="preserve">This CR proposes that the UE policy association is initiated by AMF, based on </w:t>
            </w:r>
            <w:r w:rsidRPr="00285799">
              <w:rPr>
                <w:rFonts w:eastAsia="맑은 고딕"/>
                <w:noProof/>
                <w:lang w:eastAsia="ko-KR"/>
              </w:rPr>
              <w:t xml:space="preserve">UE subscription </w:t>
            </w:r>
            <w:r>
              <w:rPr>
                <w:rFonts w:eastAsia="맑은 고딕"/>
                <w:noProof/>
                <w:lang w:eastAsia="ko-KR"/>
              </w:rPr>
              <w:t>and/or PCF indication</w:t>
            </w:r>
            <w:r>
              <w:rPr>
                <w:rFonts w:cs="Arial"/>
                <w:color w:val="000000"/>
              </w:rPr>
              <w:t xml:space="preserve">, in order to provide the efficiency and the flexibility on the local configuration in operator’s network. </w:t>
            </w:r>
          </w:p>
          <w:p w:rsidR="00EB2F2A" w:rsidRDefault="00EB2F2A" w:rsidP="00EB2F2A">
            <w:pPr>
              <w:pStyle w:val="CRCoverPage"/>
              <w:spacing w:after="0"/>
              <w:ind w:left="100"/>
              <w:rPr>
                <w:rFonts w:eastAsia="SimSun"/>
                <w:noProof/>
                <w:lang w:eastAsia="zh-CN"/>
              </w:rPr>
            </w:pPr>
          </w:p>
          <w:p w:rsidR="00EB2F2A" w:rsidRDefault="00EB2F2A" w:rsidP="00EB2F2A">
            <w:pPr>
              <w:pStyle w:val="CRCoverPage"/>
              <w:spacing w:after="0"/>
              <w:ind w:left="100"/>
              <w:rPr>
                <w:rFonts w:cs="Arial"/>
                <w:color w:val="000000"/>
              </w:rPr>
            </w:pPr>
            <w:r>
              <w:rPr>
                <w:rFonts w:cs="Arial"/>
                <w:color w:val="000000"/>
              </w:rPr>
              <w:t xml:space="preserve">It would be efficient to update UE subscription and/or PCF configuration to provide Home operator’s policy for the roaming case, comparing to handling many AMFs in the visiting PLMN (as AMF configuration proposed in </w:t>
            </w:r>
            <w:bookmarkStart w:id="3" w:name="S2-1908869"/>
            <w:r w:rsidRPr="00D62828">
              <w:rPr>
                <w:color w:val="000000"/>
              </w:rPr>
              <w:t>S2-1908869</w:t>
            </w:r>
            <w:bookmarkEnd w:id="3"/>
            <w:r>
              <w:rPr>
                <w:color w:val="000000"/>
              </w:rPr>
              <w:t>)</w:t>
            </w:r>
            <w:r>
              <w:rPr>
                <w:rFonts w:cs="Arial"/>
                <w:color w:val="000000"/>
              </w:rPr>
              <w:t>.</w:t>
            </w:r>
          </w:p>
          <w:p w:rsidR="00EB2F2A" w:rsidRPr="0031267D" w:rsidRDefault="00EB2F2A" w:rsidP="00EB2F2A">
            <w:pPr>
              <w:pStyle w:val="CRCoverPage"/>
              <w:spacing w:after="0"/>
              <w:ind w:left="100"/>
              <w:rPr>
                <w:rFonts w:eastAsia="SimSun"/>
                <w:noProof/>
                <w:lang w:eastAsia="zh-CN"/>
              </w:rPr>
            </w:pPr>
          </w:p>
        </w:tc>
      </w:tr>
      <w:tr w:rsidR="00EB2F2A" w:rsidTr="00547111">
        <w:tc>
          <w:tcPr>
            <w:tcW w:w="2694" w:type="dxa"/>
            <w:gridSpan w:val="2"/>
            <w:tcBorders>
              <w:left w:val="single" w:sz="4" w:space="0" w:color="auto"/>
            </w:tcBorders>
          </w:tcPr>
          <w:p w:rsidR="00EB2F2A" w:rsidRDefault="00EB2F2A" w:rsidP="00EB2F2A">
            <w:pPr>
              <w:pStyle w:val="CRCoverPage"/>
              <w:spacing w:after="0"/>
              <w:rPr>
                <w:b/>
                <w:i/>
                <w:noProof/>
                <w:sz w:val="8"/>
                <w:szCs w:val="8"/>
              </w:rPr>
            </w:pPr>
          </w:p>
        </w:tc>
        <w:tc>
          <w:tcPr>
            <w:tcW w:w="6946" w:type="dxa"/>
            <w:gridSpan w:val="9"/>
            <w:tcBorders>
              <w:right w:val="single" w:sz="4" w:space="0" w:color="auto"/>
            </w:tcBorders>
          </w:tcPr>
          <w:p w:rsidR="00EB2F2A" w:rsidRPr="00AF1A6F" w:rsidRDefault="00EB2F2A" w:rsidP="00EB2F2A">
            <w:pPr>
              <w:pStyle w:val="CRCoverPage"/>
              <w:spacing w:after="0"/>
              <w:rPr>
                <w:noProof/>
                <w:sz w:val="8"/>
                <w:szCs w:val="8"/>
                <w:highlight w:val="green"/>
              </w:rPr>
            </w:pPr>
          </w:p>
        </w:tc>
      </w:tr>
      <w:tr w:rsidR="00EB2F2A" w:rsidTr="00547111">
        <w:tc>
          <w:tcPr>
            <w:tcW w:w="2694" w:type="dxa"/>
            <w:gridSpan w:val="2"/>
            <w:tcBorders>
              <w:left w:val="single" w:sz="4" w:space="0" w:color="auto"/>
            </w:tcBorders>
          </w:tcPr>
          <w:p w:rsidR="00EB2F2A" w:rsidRDefault="00EB2F2A" w:rsidP="00EB2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2F2A" w:rsidRPr="00285799" w:rsidRDefault="00EB2F2A" w:rsidP="00EB2F2A">
            <w:pPr>
              <w:pStyle w:val="CRCoverPage"/>
              <w:spacing w:after="0"/>
              <w:ind w:left="100"/>
              <w:rPr>
                <w:rFonts w:eastAsia="맑은 고딕"/>
                <w:noProof/>
                <w:lang w:eastAsia="ko-KR"/>
              </w:rPr>
            </w:pPr>
            <w:r>
              <w:rPr>
                <w:rFonts w:eastAsia="맑은 고딕"/>
                <w:noProof/>
                <w:lang w:eastAsia="ko-KR"/>
              </w:rPr>
              <w:t xml:space="preserve">Adding </w:t>
            </w:r>
            <w:r w:rsidRPr="00285799">
              <w:rPr>
                <w:rFonts w:eastAsia="맑은 고딕"/>
                <w:noProof/>
                <w:lang w:eastAsia="ko-KR"/>
              </w:rPr>
              <w:t xml:space="preserve">UE Policy Association Establishment, based on UE subscription </w:t>
            </w:r>
            <w:r>
              <w:rPr>
                <w:rFonts w:eastAsia="맑은 고딕"/>
                <w:noProof/>
                <w:lang w:eastAsia="ko-KR"/>
              </w:rPr>
              <w:t>and/or PCF indication</w:t>
            </w:r>
          </w:p>
        </w:tc>
      </w:tr>
      <w:tr w:rsidR="00EB2F2A" w:rsidTr="00547111">
        <w:tc>
          <w:tcPr>
            <w:tcW w:w="2694" w:type="dxa"/>
            <w:gridSpan w:val="2"/>
            <w:tcBorders>
              <w:left w:val="single" w:sz="4" w:space="0" w:color="auto"/>
            </w:tcBorders>
          </w:tcPr>
          <w:p w:rsidR="00EB2F2A" w:rsidRDefault="00EB2F2A" w:rsidP="00EB2F2A">
            <w:pPr>
              <w:pStyle w:val="CRCoverPage"/>
              <w:spacing w:after="0"/>
              <w:rPr>
                <w:b/>
                <w:i/>
                <w:noProof/>
                <w:sz w:val="8"/>
                <w:szCs w:val="8"/>
              </w:rPr>
            </w:pPr>
          </w:p>
        </w:tc>
        <w:tc>
          <w:tcPr>
            <w:tcW w:w="6946" w:type="dxa"/>
            <w:gridSpan w:val="9"/>
            <w:tcBorders>
              <w:right w:val="single" w:sz="4" w:space="0" w:color="auto"/>
            </w:tcBorders>
          </w:tcPr>
          <w:p w:rsidR="00EB2F2A" w:rsidRPr="00AF1A6F" w:rsidRDefault="00EB2F2A" w:rsidP="00EB2F2A">
            <w:pPr>
              <w:pStyle w:val="CRCoverPage"/>
              <w:spacing w:after="0"/>
              <w:rPr>
                <w:noProof/>
                <w:sz w:val="8"/>
                <w:szCs w:val="8"/>
                <w:highlight w:val="green"/>
              </w:rPr>
            </w:pPr>
          </w:p>
        </w:tc>
      </w:tr>
      <w:tr w:rsidR="00EB2F2A" w:rsidTr="00547111">
        <w:tc>
          <w:tcPr>
            <w:tcW w:w="2694" w:type="dxa"/>
            <w:gridSpan w:val="2"/>
            <w:tcBorders>
              <w:left w:val="single" w:sz="4" w:space="0" w:color="auto"/>
              <w:bottom w:val="single" w:sz="4" w:space="0" w:color="auto"/>
            </w:tcBorders>
          </w:tcPr>
          <w:p w:rsidR="00EB2F2A" w:rsidRDefault="00EB2F2A" w:rsidP="00EB2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2F2A" w:rsidRPr="00AF1A6F" w:rsidRDefault="00EB2F2A" w:rsidP="00EB2F2A">
            <w:pPr>
              <w:pStyle w:val="CRCoverPage"/>
              <w:spacing w:after="0"/>
              <w:ind w:left="100"/>
              <w:rPr>
                <w:noProof/>
                <w:highlight w:val="green"/>
              </w:rPr>
            </w:pPr>
            <w:r>
              <w:rPr>
                <w:noProof/>
              </w:rPr>
              <w:t>UE Policies may not be provided to the UE during initial UE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1AE7">
            <w:pPr>
              <w:pStyle w:val="CRCoverPage"/>
              <w:spacing w:after="0"/>
              <w:ind w:left="100"/>
              <w:rPr>
                <w:noProof/>
                <w:lang w:eastAsia="ko-KR"/>
              </w:rPr>
            </w:pPr>
            <w:r w:rsidRPr="00F70B61">
              <w:t>6.1.2.2.2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EB2F2A" w:rsidRPr="00F70B61" w:rsidRDefault="00EB2F2A" w:rsidP="00EB2F2A">
      <w:pPr>
        <w:pStyle w:val="5"/>
      </w:pPr>
      <w:bookmarkStart w:id="4" w:name="_Toc19197326"/>
      <w:bookmarkStart w:id="5" w:name="_Toc27896479"/>
      <w:r w:rsidRPr="00F70B61">
        <w:t>6.1.2.2.2</w:t>
      </w:r>
      <w:r w:rsidRPr="00F70B61">
        <w:tab/>
        <w:t>Distribution of the policies to UE</w:t>
      </w:r>
      <w:bookmarkEnd w:id="4"/>
      <w:bookmarkEnd w:id="5"/>
    </w:p>
    <w:p w:rsidR="00EB2F2A" w:rsidRPr="003F46C2" w:rsidRDefault="00EB2F2A" w:rsidP="00EB2F2A">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rsidR="00EB2F2A" w:rsidRDefault="00EB2F2A" w:rsidP="00EB2F2A">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rsidR="00EB2F2A" w:rsidRPr="00EB2F2A" w:rsidRDefault="00EB2F2A" w:rsidP="00EB2F2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EB2F2A" w:rsidRPr="00EB2F2A" w:rsidRDefault="00EB2F2A" w:rsidP="00EB2F2A">
      <w:pPr>
        <w:rPr>
          <w:ins w:id="6" w:author="Hyunsook (LGE)" w:date="2020-01-03T20:10:00Z"/>
          <w:rFonts w:eastAsia="DengXian"/>
        </w:rPr>
      </w:pPr>
      <w:ins w:id="7" w:author="Hyunsook (LGE)" w:date="2020-01-03T20:10:00Z">
        <w:r>
          <w:t>The AMF may be triggered to initiate UE policy association establishment based on UE subscription</w:t>
        </w:r>
      </w:ins>
      <w:ins w:id="8" w:author="Hyunsook (LGE)" w:date="2020-01-07T16:47:00Z">
        <w:r w:rsidR="00260EF0">
          <w:t xml:space="preserve"> </w:t>
        </w:r>
      </w:ins>
      <w:ins w:id="9" w:author="Hyunsook (LGE)" w:date="2020-01-07T16:48:00Z">
        <w:r w:rsidR="00260EF0">
          <w:t>i</w:t>
        </w:r>
      </w:ins>
      <w:bookmarkStart w:id="10" w:name="_GoBack"/>
      <w:bookmarkEnd w:id="10"/>
      <w:ins w:id="11" w:author="Hyunsook (LGE)" w:date="2020-01-07T16:47:00Z">
        <w:r w:rsidR="00260EF0">
          <w:t xml:space="preserve">ndication on UE policy association </w:t>
        </w:r>
        <w:r w:rsidR="00260EF0" w:rsidRPr="00FE3438">
          <w:rPr>
            <w:rFonts w:eastAsia="SimSun"/>
          </w:rPr>
          <w:t>establishment</w:t>
        </w:r>
        <w:r w:rsidR="00260EF0">
          <w:t xml:space="preserve"> </w:t>
        </w:r>
      </w:ins>
      <w:ins w:id="12" w:author="Hyunsook (LGE)" w:date="2020-01-03T20:10:00Z">
        <w:r>
          <w:t xml:space="preserve">and/or </w:t>
        </w:r>
      </w:ins>
      <w:ins w:id="13" w:author="Hyunsook (LGE)" w:date="2020-01-03T20:11:00Z">
        <w:r>
          <w:rPr>
            <w:lang w:eastAsia="zh-CN"/>
          </w:rPr>
          <w:t xml:space="preserve">PCF indication </w:t>
        </w:r>
        <w:r>
          <w:t xml:space="preserve">on UE policy association </w:t>
        </w:r>
        <w:r w:rsidRPr="00FE3438">
          <w:rPr>
            <w:rFonts w:eastAsia="SimSun"/>
          </w:rPr>
          <w:t>establishment</w:t>
        </w:r>
      </w:ins>
      <w:ins w:id="14" w:author="Hyunsook (LGE)" w:date="2020-01-03T20:10:00Z">
        <w:r>
          <w:t>.</w:t>
        </w:r>
      </w:ins>
    </w:p>
    <w:p w:rsidR="00EB2F2A" w:rsidRPr="003F46C2" w:rsidRDefault="00EB2F2A" w:rsidP="00EB2F2A">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rsidR="00EB2F2A" w:rsidRPr="003F46C2" w:rsidRDefault="00EB2F2A" w:rsidP="00EB2F2A">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rsidR="00EB2F2A" w:rsidRDefault="00EB2F2A" w:rsidP="00EB2F2A">
      <w:pPr>
        <w:pStyle w:val="NO"/>
      </w:pPr>
      <w:r>
        <w:t>NOTE 2:</w:t>
      </w:r>
      <w:r>
        <w:tab/>
        <w:t>The size limit to allow the policy information to be delivered using NAS transport is specified in TS 29.507 [13]. The size limit is configured in the PCF.</w:t>
      </w:r>
    </w:p>
    <w:p w:rsidR="00EB2F2A" w:rsidRDefault="00EB2F2A" w:rsidP="00EB2F2A">
      <w:r>
        <w:t>A list of self-contained UE access selection and PDU Session related policy information implies that:</w:t>
      </w:r>
    </w:p>
    <w:p w:rsidR="00EB2F2A" w:rsidRPr="00BC612F" w:rsidRDefault="00EB2F2A" w:rsidP="00EB2F2A">
      <w:pPr>
        <w:pStyle w:val="B1"/>
      </w:pPr>
      <w:r>
        <w:t>-</w:t>
      </w:r>
      <w:r>
        <w:tab/>
        <w:t>when the PCF delivers URSP rules to the UE, the PCF provides the list of URSP rules in the order of precedence and without splitting a URSP rule across Policy Sections;</w:t>
      </w:r>
    </w:p>
    <w:p w:rsidR="00EB2F2A" w:rsidRPr="00BC612F" w:rsidRDefault="00EB2F2A" w:rsidP="00EB2F2A">
      <w:pPr>
        <w:pStyle w:val="B1"/>
      </w:pPr>
      <w:r>
        <w:t>-</w:t>
      </w:r>
      <w:r>
        <w:tab/>
        <w:t xml:space="preserve">when the PCF delivers WLANSP rules, the list of WLANSP rules are provided in the order of priority and </w:t>
      </w:r>
      <w:proofErr w:type="gramStart"/>
      <w:r>
        <w:t>without</w:t>
      </w:r>
      <w:proofErr w:type="gramEnd"/>
      <w:r>
        <w:t xml:space="preserve"> splitting a WLANSP rule across Policy Sections;</w:t>
      </w:r>
    </w:p>
    <w:p w:rsidR="00EB2F2A" w:rsidRDefault="00EB2F2A" w:rsidP="00EB2F2A">
      <w:pPr>
        <w:pStyle w:val="B1"/>
      </w:pPr>
      <w:r>
        <w:t>-</w:t>
      </w:r>
      <w:r>
        <w:tab/>
        <w:t>when the PCF delivers the non-3GPP access network selection information, the whole list of non-3GPP access network selection information (as defined in clause 6.6.1.1) is provided in one Policy Section.</w:t>
      </w:r>
    </w:p>
    <w:p w:rsidR="00EB2F2A" w:rsidRDefault="00EB2F2A" w:rsidP="00EB2F2A">
      <w:r>
        <w:t>It is up to PCF decision how to divide the UE access selection and PDU Session related policy information into Policy Sections as long as the requirements for the predefined size limit and the self-contained content (described above) are fulfilled.</w:t>
      </w:r>
    </w:p>
    <w:p w:rsidR="00EB2F2A" w:rsidRDefault="00EB2F2A" w:rsidP="00EB2F2A">
      <w:pPr>
        <w:pStyle w:val="NO"/>
      </w:pPr>
      <w:r>
        <w:t>NOTE 3:</w:t>
      </w:r>
      <w:r>
        <w:tab/>
        <w:t>The Policy Section list can be different per user. One PSI and its corresponding content can be the same for one or more users.</w:t>
      </w:r>
    </w:p>
    <w:p w:rsidR="00EB2F2A" w:rsidRDefault="00EB2F2A" w:rsidP="00EB2F2A">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rsidR="00EB2F2A" w:rsidRDefault="00EB2F2A" w:rsidP="00EB2F2A">
      <w:r>
        <w:t>The PLMN ID is provided to the UE together with UE access selection or PDU Session related policy information and it is used to indicate which PLMN a Policy Section list belongs to.</w:t>
      </w:r>
    </w:p>
    <w:p w:rsidR="00EB2F2A" w:rsidRDefault="00EB2F2A" w:rsidP="00EB2F2A">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rsidR="00EB2F2A" w:rsidRDefault="00EB2F2A" w:rsidP="00EB2F2A">
      <w:pPr>
        <w:pStyle w:val="NO"/>
      </w:pPr>
      <w:r>
        <w:lastRenderedPageBreak/>
        <w:t>NOTE 5:</w:t>
      </w:r>
      <w:r>
        <w:tab/>
        <w:t>The AMF does not need to understand the content of the UE policy, rather send them to the UE for storage.</w:t>
      </w:r>
    </w:p>
    <w:p w:rsidR="00EB2F2A" w:rsidRDefault="00EB2F2A" w:rsidP="00EB2F2A">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rsidR="00EB2F2A" w:rsidRDefault="00EB2F2A" w:rsidP="00EB2F2A">
      <w:pPr>
        <w:pStyle w:val="B1"/>
      </w:pPr>
      <w:r>
        <w:t>-</w:t>
      </w:r>
      <w:r>
        <w:tab/>
        <w:t>If the UE has no Policy Sections with the same PSI, the UE stores the Policy Section;</w:t>
      </w:r>
    </w:p>
    <w:p w:rsidR="00EB2F2A" w:rsidRDefault="00EB2F2A" w:rsidP="00EB2F2A">
      <w:pPr>
        <w:pStyle w:val="B1"/>
      </w:pPr>
      <w:r>
        <w:t>-</w:t>
      </w:r>
      <w:r>
        <w:tab/>
        <w:t>If the UE has an existing Policy Section with the same PSI, the UE replaces the stored Policy Section with the received information;</w:t>
      </w:r>
    </w:p>
    <w:p w:rsidR="00EB2F2A" w:rsidRDefault="00EB2F2A" w:rsidP="00EB2F2A">
      <w:pPr>
        <w:pStyle w:val="B1"/>
      </w:pPr>
      <w:r>
        <w:t>-</w:t>
      </w:r>
      <w:r>
        <w:tab/>
        <w:t xml:space="preserve">The UE </w:t>
      </w:r>
      <w:r w:rsidRPr="00530D94">
        <w:t>removes</w:t>
      </w:r>
      <w:r>
        <w:t xml:space="preserve"> the stored Policy Section if the received information contains only the PSI.</w:t>
      </w:r>
    </w:p>
    <w:p w:rsidR="00EB2F2A" w:rsidRPr="00627C98" w:rsidRDefault="00EB2F2A" w:rsidP="00EB2F2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rsidR="00EB2F2A" w:rsidRDefault="00EB2F2A" w:rsidP="00EB2F2A">
      <w:r>
        <w:t>The ANDSP for VPLMN, if provided within the UE policy in the UE Configuration Update procedure described in TS 23.502 [3] clause 4.2.4.3, applies to the equivalent PLMN(s) indicated in the last received list of equivalent PLMNs in Registration Accept.</w:t>
      </w:r>
    </w:p>
    <w:p w:rsidR="00EB2F2A" w:rsidRDefault="00EB2F2A" w:rsidP="00EB2F2A">
      <w:r>
        <w:t>At Initial Registration or the Registration to 5GS when the UE moves from EPS to 5GS:</w:t>
      </w:r>
    </w:p>
    <w:p w:rsidR="00EB2F2A" w:rsidRDefault="00EB2F2A" w:rsidP="00EB2F2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rsidR="00EB2F2A" w:rsidRDefault="00EB2F2A" w:rsidP="00EB2F2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EB2F2A" w:rsidRDefault="00EB2F2A" w:rsidP="00EB2F2A">
      <w:pPr>
        <w:pStyle w:val="B1"/>
      </w:pPr>
      <w:r>
        <w:t>-</w:t>
      </w:r>
      <w:r>
        <w:tab/>
      </w:r>
      <w:r w:rsidRPr="003A4E04">
        <w:t xml:space="preserve">The UE may also provide the </w:t>
      </w:r>
      <w:proofErr w:type="spellStart"/>
      <w:r w:rsidRPr="003A4E04">
        <w:t>OSId</w:t>
      </w:r>
      <w:proofErr w:type="spellEnd"/>
      <w:r w:rsidRPr="003A4E04">
        <w:t>.</w:t>
      </w:r>
    </w:p>
    <w:p w:rsidR="00EB2F2A" w:rsidRDefault="00EB2F2A" w:rsidP="00EB2F2A">
      <w:r>
        <w:t>The UE may trigger an Initial registration with the list of stored PSIs to request a synchronization for example if the UE powers up without USIM being changed.</w:t>
      </w:r>
    </w:p>
    <w:p w:rsidR="00EB2F2A" w:rsidRDefault="00EB2F2A" w:rsidP="00EB2F2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EB2F2A" w:rsidRDefault="00EB2F2A" w:rsidP="00EB2F2A">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rsidR="00EB2F2A" w:rsidRDefault="00EB2F2A" w:rsidP="00EB2F2A">
      <w:r>
        <w:t>In the roaming scenario, the V-PCF shall also forward any UE provided PSIs that are associated to the home PLMN to the H-PCF.</w:t>
      </w:r>
    </w:p>
    <w:p w:rsidR="00EB2F2A" w:rsidRDefault="00EB2F2A" w:rsidP="00EB2F2A">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rsidR="00EB2F2A" w:rsidRDefault="00EB2F2A" w:rsidP="00EB2F2A">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rsidR="00EB2F2A" w:rsidRDefault="00EB2F2A" w:rsidP="00EB2F2A">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rsidR="00EB2F2A" w:rsidRDefault="00EB2F2A" w:rsidP="00EB2F2A">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rsidR="00EB2F2A" w:rsidRDefault="00EB2F2A" w:rsidP="00EB2F2A">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EB2F2A" w:rsidRDefault="00EB2F2A" w:rsidP="00EB2F2A">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EB2F2A" w:rsidRDefault="00EB2F2A" w:rsidP="00EB2F2A">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rsidR="007A43B2" w:rsidRPr="00EB2F2A" w:rsidRDefault="007A43B2" w:rsidP="007A43B2">
      <w:pPr>
        <w:pStyle w:val="B1"/>
        <w:rPr>
          <w:lang w:eastAsia="zh-CN"/>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B67" w:rsidRDefault="00904B67">
      <w:r>
        <w:separator/>
      </w:r>
    </w:p>
  </w:endnote>
  <w:endnote w:type="continuationSeparator" w:id="0">
    <w:p w:rsidR="00904B67" w:rsidRDefault="0090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B67" w:rsidRDefault="00904B67">
      <w:r>
        <w:separator/>
      </w:r>
    </w:p>
  </w:footnote>
  <w:footnote w:type="continuationSeparator" w:id="0">
    <w:p w:rsidR="00904B67" w:rsidRDefault="00904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90"/>
    <w:rsid w:val="00050C3C"/>
    <w:rsid w:val="0007460F"/>
    <w:rsid w:val="0007485D"/>
    <w:rsid w:val="000A6394"/>
    <w:rsid w:val="000B7FED"/>
    <w:rsid w:val="000C038A"/>
    <w:rsid w:val="000C6598"/>
    <w:rsid w:val="00145D43"/>
    <w:rsid w:val="00152516"/>
    <w:rsid w:val="00192C46"/>
    <w:rsid w:val="001A08B3"/>
    <w:rsid w:val="001A7B60"/>
    <w:rsid w:val="001B52F0"/>
    <w:rsid w:val="001B7A65"/>
    <w:rsid w:val="001D03ED"/>
    <w:rsid w:val="001E41F3"/>
    <w:rsid w:val="001E6587"/>
    <w:rsid w:val="002244DB"/>
    <w:rsid w:val="0026004D"/>
    <w:rsid w:val="00260EF0"/>
    <w:rsid w:val="002640DD"/>
    <w:rsid w:val="00275D12"/>
    <w:rsid w:val="00284FEB"/>
    <w:rsid w:val="002860C4"/>
    <w:rsid w:val="002B5741"/>
    <w:rsid w:val="00305409"/>
    <w:rsid w:val="003609EF"/>
    <w:rsid w:val="0036231A"/>
    <w:rsid w:val="00374DD4"/>
    <w:rsid w:val="003B279D"/>
    <w:rsid w:val="003C7B38"/>
    <w:rsid w:val="003E1A36"/>
    <w:rsid w:val="00410371"/>
    <w:rsid w:val="004242F1"/>
    <w:rsid w:val="00485335"/>
    <w:rsid w:val="004B75B7"/>
    <w:rsid w:val="0051580D"/>
    <w:rsid w:val="00540E7A"/>
    <w:rsid w:val="00547111"/>
    <w:rsid w:val="00592D74"/>
    <w:rsid w:val="005E2C44"/>
    <w:rsid w:val="00621188"/>
    <w:rsid w:val="006257ED"/>
    <w:rsid w:val="00695808"/>
    <w:rsid w:val="006B46FB"/>
    <w:rsid w:val="006B6028"/>
    <w:rsid w:val="006E21FB"/>
    <w:rsid w:val="007913DC"/>
    <w:rsid w:val="00792342"/>
    <w:rsid w:val="007977A8"/>
    <w:rsid w:val="007A43B2"/>
    <w:rsid w:val="007B512A"/>
    <w:rsid w:val="007C2097"/>
    <w:rsid w:val="007C209A"/>
    <w:rsid w:val="007D6A07"/>
    <w:rsid w:val="007E0359"/>
    <w:rsid w:val="007F7259"/>
    <w:rsid w:val="008040A8"/>
    <w:rsid w:val="008279FA"/>
    <w:rsid w:val="008626E7"/>
    <w:rsid w:val="00870EE7"/>
    <w:rsid w:val="00885581"/>
    <w:rsid w:val="008863B9"/>
    <w:rsid w:val="008A0D18"/>
    <w:rsid w:val="008A45A6"/>
    <w:rsid w:val="008F686C"/>
    <w:rsid w:val="008F6D80"/>
    <w:rsid w:val="00904B67"/>
    <w:rsid w:val="009148DE"/>
    <w:rsid w:val="00941E30"/>
    <w:rsid w:val="009777D9"/>
    <w:rsid w:val="00991B88"/>
    <w:rsid w:val="009A5753"/>
    <w:rsid w:val="009A579D"/>
    <w:rsid w:val="009E3297"/>
    <w:rsid w:val="009F734F"/>
    <w:rsid w:val="00A246B6"/>
    <w:rsid w:val="00A30DEA"/>
    <w:rsid w:val="00A47E70"/>
    <w:rsid w:val="00A50CF0"/>
    <w:rsid w:val="00A54B1D"/>
    <w:rsid w:val="00A7671C"/>
    <w:rsid w:val="00AA2CBC"/>
    <w:rsid w:val="00AC5820"/>
    <w:rsid w:val="00AD1CD8"/>
    <w:rsid w:val="00B17FC6"/>
    <w:rsid w:val="00B258BB"/>
    <w:rsid w:val="00B67B97"/>
    <w:rsid w:val="00B968C8"/>
    <w:rsid w:val="00BA3EC5"/>
    <w:rsid w:val="00BA51D9"/>
    <w:rsid w:val="00BB5DFC"/>
    <w:rsid w:val="00BD279D"/>
    <w:rsid w:val="00BD6BB8"/>
    <w:rsid w:val="00C66BA2"/>
    <w:rsid w:val="00C91AE7"/>
    <w:rsid w:val="00C95985"/>
    <w:rsid w:val="00CC5026"/>
    <w:rsid w:val="00CC68D0"/>
    <w:rsid w:val="00D03F9A"/>
    <w:rsid w:val="00D06D51"/>
    <w:rsid w:val="00D24991"/>
    <w:rsid w:val="00D50255"/>
    <w:rsid w:val="00D66520"/>
    <w:rsid w:val="00DB246A"/>
    <w:rsid w:val="00DD0164"/>
    <w:rsid w:val="00DE34CF"/>
    <w:rsid w:val="00E13F3D"/>
    <w:rsid w:val="00E32D34"/>
    <w:rsid w:val="00E34898"/>
    <w:rsid w:val="00EB09B7"/>
    <w:rsid w:val="00EB2F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 w:type="character" w:customStyle="1" w:styleId="NOChar">
    <w:name w:val="NO Char"/>
    <w:rsid w:val="007A43B2"/>
    <w:rPr>
      <w:lang w:eastAsia="en-US"/>
    </w:rPr>
  </w:style>
  <w:style w:type="character" w:customStyle="1" w:styleId="THChar">
    <w:name w:val="TH Char"/>
    <w:link w:val="TH"/>
    <w:rsid w:val="007A43B2"/>
    <w:rPr>
      <w:rFonts w:ascii="Arial" w:hAnsi="Arial"/>
      <w:b/>
      <w:lang w:val="en-GB" w:eastAsia="en-US"/>
    </w:rPr>
  </w:style>
  <w:style w:type="character" w:customStyle="1" w:styleId="TFChar">
    <w:name w:val="TF Char"/>
    <w:link w:val="TF"/>
    <w:rsid w:val="007A43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4BDF-F3DC-40F9-A02C-4939EA16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1715</Words>
  <Characters>9779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9</cp:revision>
  <cp:lastPrinted>1899-12-31T23:00:00Z</cp:lastPrinted>
  <dcterms:created xsi:type="dcterms:W3CDTF">2020-01-03T10:19:00Z</dcterms:created>
  <dcterms:modified xsi:type="dcterms:W3CDTF">2020-01-07T07:48:00Z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